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hanging="426"/>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Framework Schedule 7 (Call-Off Award Procedure</w:t>
      </w:r>
      <w:bookmarkStart w:colFirst="0" w:colLast="0" w:name="bookmark=id.gjdgxs" w:id="0"/>
      <w:bookmarkEnd w:id="0"/>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hanging="426"/>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1: Order Procedure</w:t>
      </w:r>
    </w:p>
    <w:p w:rsidR="00000000" w:rsidDel="00000000" w:rsidP="00000000" w:rsidRDefault="00000000" w:rsidRPr="00000000" w14:paraId="00000003">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a Call-Off Contract is awarded</w:t>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potential Buyer decides to source Deliverables through this Contract then it will award its Deliverables in accordance with the procedure in this Schedule and the requirements of the Regulations.</w:t>
      </w:r>
    </w:p>
    <w:p w:rsidR="00000000" w:rsidDel="00000000" w:rsidP="00000000" w:rsidRDefault="00000000" w:rsidRPr="00000000" w14:paraId="0000000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potential Buyer can determine that:</w:t>
      </w:r>
    </w:p>
    <w:p w:rsidR="00000000" w:rsidDel="00000000" w:rsidP="00000000" w:rsidRDefault="00000000" w:rsidRPr="00000000" w14:paraId="0000000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of the terms of the proposed Call-Off Contract are laid down in this Contract and do not require amendment or any supplementary terms and conditions;</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4536"/>
        </w:tabs>
        <w:spacing w:after="220" w:before="0" w:line="240" w:lineRule="auto"/>
        <w:ind w:left="709" w:right="0" w:hanging="113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then the Buyer may award a Call-Off Contract in accordance with the procedure set out in Paragraph 2 below.</w:t>
      </w:r>
    </w:p>
    <w:p w:rsidR="00000000" w:rsidDel="00000000" w:rsidP="00000000" w:rsidRDefault="00000000" w:rsidRPr="00000000" w14:paraId="0000000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all of the terms of the proposed Call-Off Contract are not laid down in this Contract and the potential Buyer:</w:t>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requires the Supplier to develop proposals or a solution in respect of such Deliverables; and/or</w:t>
      </w:r>
    </w:p>
    <w:p w:rsidR="00000000" w:rsidDel="00000000" w:rsidP="00000000" w:rsidRDefault="00000000" w:rsidRPr="00000000" w14:paraId="0000000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needs to amend or refine the terms of the Framework Contract to reflect its Deliverables to the extent permitted by and in accordance with the Regulations; and/or</w:t>
      </w:r>
    </w:p>
    <w:p w:rsidR="00000000" w:rsidDel="00000000" w:rsidP="00000000" w:rsidRDefault="00000000" w:rsidRPr="00000000" w14:paraId="0000000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requires any additional provisions to be included that are not already included in the Contract (to the extent permitted by and in accordance with the Regulations and) to deal with any of the following:</w:t>
      </w:r>
    </w:p>
    <w:p w:rsidR="00000000" w:rsidDel="00000000" w:rsidP="00000000" w:rsidRDefault="00000000" w:rsidRPr="00000000" w14:paraId="0000000D">
      <w:pPr>
        <w:keepNext w:val="1"/>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52" w:right="0" w:hanging="96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security requirements over and above those set out Joint Schedul</w:t>
      </w:r>
      <w:r w:rsidDel="00000000" w:rsidR="00000000" w:rsidRPr="00000000">
        <w:rPr>
          <w:rFonts w:ascii="Arial" w:cs="Arial" w:eastAsia="Arial" w:hAnsi="Arial"/>
          <w:sz w:val="24"/>
          <w:szCs w:val="24"/>
          <w:rtl w:val="0"/>
        </w:rPr>
        <w:t xml:space="preserve">e 13  (Security Terms) for Solution A and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Call-Off Schedule 9 (Security) for Solution A and B, including staff clearance;</w:t>
      </w:r>
    </w:p>
    <w:p w:rsidR="00000000" w:rsidDel="00000000" w:rsidP="00000000" w:rsidRDefault="00000000" w:rsidRPr="00000000" w14:paraId="0000000E">
      <w:pPr>
        <w:keepNext w:val="1"/>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552" w:right="0" w:hanging="96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use of implants;</w:t>
      </w:r>
    </w:p>
    <w:p w:rsidR="00000000" w:rsidDel="00000000" w:rsidP="00000000" w:rsidRDefault="00000000" w:rsidRPr="00000000" w14:paraId="0000000F">
      <w:pPr>
        <w:keepNext w:val="1"/>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552" w:right="0" w:hanging="96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use of ticket printers;</w:t>
      </w:r>
    </w:p>
    <w:p w:rsidR="00000000" w:rsidDel="00000000" w:rsidP="00000000" w:rsidRDefault="00000000" w:rsidRPr="00000000" w14:paraId="00000010">
      <w:pPr>
        <w:keepNext w:val="1"/>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552" w:right="0" w:hanging="96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additional Service Levels;</w:t>
      </w:r>
    </w:p>
    <w:p w:rsidR="00000000" w:rsidDel="00000000" w:rsidP="00000000" w:rsidRDefault="00000000" w:rsidRPr="00000000" w14:paraId="00000011">
      <w:pPr>
        <w:keepNext w:val="1"/>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552" w:right="0" w:hanging="96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executive services; and </w:t>
      </w:r>
    </w:p>
    <w:p w:rsidR="00000000" w:rsidDel="00000000" w:rsidP="00000000" w:rsidRDefault="00000000" w:rsidRPr="00000000" w14:paraId="00000012">
      <w:pPr>
        <w:keepNext w:val="1"/>
        <w:keepLines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552" w:right="0" w:hanging="96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social responsibility requirements,</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4536"/>
        </w:tabs>
        <w:spacing w:after="220" w:before="0" w:line="240" w:lineRule="auto"/>
        <w:ind w:left="709" w:right="0" w:hanging="113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then the Buyer may award a Call-Off Contract in accordance with the Further Competition Procedure set out in Paragraph 3 below.</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acknowledges and agrees that it is responsible for determining if the security risk levels are acceptable prior to awarding a Call-Off Contract.</w:t>
      </w:r>
    </w:p>
    <w:p w:rsidR="00000000" w:rsidDel="00000000" w:rsidP="00000000" w:rsidRDefault="00000000" w:rsidRPr="00000000" w14:paraId="0000001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a direct award works</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1.2 above the Buyer awarding a Call-Off Contract under this Contract without holding a further competition shall:</w:t>
      </w:r>
    </w:p>
    <w:p w:rsidR="00000000" w:rsidDel="00000000" w:rsidP="00000000" w:rsidRDefault="00000000" w:rsidRPr="00000000" w14:paraId="0000001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 a clear Statement of Requirements;</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the direct award criteria to the Suppliers’ catalogues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rsidR="00000000" w:rsidDel="00000000" w:rsidP="00000000" w:rsidRDefault="00000000" w:rsidRPr="00000000" w14:paraId="0000001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basis set out above, award the Call-Off Contract with the successful Supplier in accordance with Paragraph 6 below.</w:t>
      </w:r>
    </w:p>
    <w:p w:rsidR="00000000" w:rsidDel="00000000" w:rsidP="00000000" w:rsidRDefault="00000000" w:rsidRPr="00000000" w14:paraId="0000001A">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a further competition works</w:t>
      </w:r>
    </w:p>
    <w:p w:rsidR="00000000" w:rsidDel="00000000" w:rsidP="00000000" w:rsidRDefault="00000000" w:rsidRPr="00000000" w14:paraId="0000001B">
      <w:pPr>
        <w:keepNext w:val="1"/>
        <w:keepLines w:val="0"/>
        <w:widowControl w:val="1"/>
        <w:pBdr>
          <w:top w:space="0" w:sz="0" w:val="nil"/>
          <w:left w:space="0" w:sz="0" w:val="nil"/>
          <w:bottom w:space="0" w:sz="0" w:val="nil"/>
          <w:right w:space="0" w:sz="0" w:val="nil"/>
          <w:between w:space="0" w:sz="0" w:val="nil"/>
        </w:pBdr>
        <w:shd w:fill="auto" w:val="clear"/>
        <w:tabs>
          <w:tab w:val="left" w:pos="3054"/>
        </w:tabs>
        <w:spacing w:after="120" w:before="120" w:line="240" w:lineRule="auto"/>
        <w:ind w:left="709" w:right="0" w:hanging="349"/>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t xml:space="preserve">What the Buyer has to do</w:t>
      </w:r>
    </w:p>
    <w:p w:rsidR="00000000" w:rsidDel="00000000" w:rsidP="00000000" w:rsidRDefault="00000000" w:rsidRPr="00000000" w14:paraId="0000001C">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awarding a Call-Off Contract under this Contract through a Further Competition Procedure shall:</w:t>
      </w:r>
    </w:p>
    <w:p w:rsidR="00000000" w:rsidDel="00000000" w:rsidP="00000000" w:rsidRDefault="00000000" w:rsidRPr="00000000" w14:paraId="0000001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 a Statement of Requirements setting out its requirements for the Deliverables and identify the Suppliers capable of supplying the them;</w:t>
      </w:r>
    </w:p>
    <w:p w:rsidR="00000000" w:rsidDel="00000000" w:rsidP="00000000" w:rsidRDefault="00000000" w:rsidRPr="00000000" w14:paraId="0000001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amend or refine the Deliverables to reflect its requirements by using the Order Form only to the extent permitted by and in accordance with Paragraph 1.3 above and the requirements of the Regulations;</w:t>
      </w:r>
    </w:p>
    <w:p w:rsidR="00000000" w:rsidDel="00000000" w:rsidP="00000000" w:rsidRDefault="00000000" w:rsidRPr="00000000" w14:paraId="0000001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invite tenders by conducting a Further Competition Procedure for its Deliverables in accordance with the Regulations and in particular the Buyer shall:</w:t>
      </w:r>
    </w:p>
    <w:p w:rsidR="00000000" w:rsidDel="00000000" w:rsidP="00000000" w:rsidRDefault="00000000" w:rsidRPr="00000000" w14:paraId="00000020">
      <w:pPr>
        <w:keepNext w:val="1"/>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invite the Suppliers identified in accordance with Paragraph 3.1.1 to submit a tender in writing for each proposed Call-Off Contract to be awarded by giving written notice by email to the relevant Supplier Representative of each Supplier;</w:t>
      </w:r>
    </w:p>
    <w:p w:rsidR="00000000" w:rsidDel="00000000" w:rsidP="00000000" w:rsidRDefault="00000000" w:rsidRPr="00000000" w14:paraId="00000021">
      <w:pPr>
        <w:keepNext w:val="1"/>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a time limit for the receipt by it of the tenders which takes into account factors such as the complexity of the subject matter of the proposed Call-Off Contract and the time needed to submit tenders; and</w:t>
      </w:r>
    </w:p>
    <w:p w:rsidR="00000000" w:rsidDel="00000000" w:rsidP="00000000" w:rsidRDefault="00000000" w:rsidRPr="00000000" w14:paraId="00000022">
      <w:pPr>
        <w:keepNext w:val="1"/>
        <w:keepLines w:val="0"/>
        <w:widowControl w:val="1"/>
        <w:numPr>
          <w:ilvl w:val="3"/>
          <w:numId w:val="3"/>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keep each tender confidential until the time limit set out for the return of tenders has expired;</w:t>
      </w:r>
    </w:p>
    <w:p w:rsidR="00000000" w:rsidDel="00000000" w:rsidP="00000000" w:rsidRDefault="00000000" w:rsidRPr="00000000" w14:paraId="0000002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the further competition award criteria to the Suppliers' compliant tenders submitted through the Further Competition Procedure as the basis of its decision to award a Call-Off Contract for its Deliverables;</w:t>
      </w:r>
    </w:p>
    <w:p w:rsidR="00000000" w:rsidDel="00000000" w:rsidP="00000000" w:rsidRDefault="00000000" w:rsidRPr="00000000" w14:paraId="0000002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basis set out above, award its Call-Off Contract to the successful Supplier in accordance with Paragraph 6. The Call-Off Contract shall:</w:t>
      </w:r>
    </w:p>
    <w:p w:rsidR="00000000" w:rsidDel="00000000" w:rsidP="00000000" w:rsidRDefault="00000000" w:rsidRPr="00000000" w14:paraId="00000025">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state the Deliverables;</w:t>
      </w:r>
    </w:p>
    <w:p w:rsidR="00000000" w:rsidDel="00000000" w:rsidP="00000000" w:rsidRDefault="00000000" w:rsidRPr="00000000" w14:paraId="00000026">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state the tender submitted by the successful Supplier;</w:t>
      </w:r>
    </w:p>
    <w:p w:rsidR="00000000" w:rsidDel="00000000" w:rsidP="00000000" w:rsidRDefault="00000000" w:rsidRPr="00000000" w14:paraId="00000027">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state the charges payable for the Deliverables in accordance with the tender submitted by the successful Supplier; and</w:t>
      </w:r>
    </w:p>
    <w:p w:rsidR="00000000" w:rsidDel="00000000" w:rsidP="00000000" w:rsidRDefault="00000000" w:rsidRPr="00000000" w14:paraId="00000028">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incorporate the terms [of the Order Form and Contract] (as may be amended or refined by the Buyer in accordance with Paragraph 3.1.2. above) applicable to the Deliverables; and</w:t>
      </w:r>
    </w:p>
    <w:p w:rsidR="00000000" w:rsidDel="00000000" w:rsidP="00000000" w:rsidRDefault="00000000" w:rsidRPr="00000000" w14:paraId="0000002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unsuccessful Suppliers with written feedback in relation to the reasons why their tenders were unsuccessful.</w:t>
      </w:r>
    </w:p>
    <w:p w:rsidR="00000000" w:rsidDel="00000000" w:rsidP="00000000" w:rsidRDefault="00000000" w:rsidRPr="00000000" w14:paraId="0000002A">
      <w:pPr>
        <w:keepNext w:val="1"/>
        <w:keepLines w:val="0"/>
        <w:widowControl w:val="1"/>
        <w:pBdr>
          <w:top w:space="0" w:sz="0" w:val="nil"/>
          <w:left w:space="0" w:sz="0" w:val="nil"/>
          <w:bottom w:space="0" w:sz="0" w:val="nil"/>
          <w:right w:space="0" w:sz="0" w:val="nil"/>
          <w:between w:space="0" w:sz="0" w:val="nil"/>
        </w:pBdr>
        <w:shd w:fill="auto" w:val="clear"/>
        <w:tabs>
          <w:tab w:val="left" w:pos="3054"/>
        </w:tabs>
        <w:spacing w:after="120" w:before="120" w:line="240" w:lineRule="auto"/>
        <w:ind w:left="709" w:right="0" w:hanging="113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has to do</w:t>
      </w:r>
    </w:p>
    <w:p w:rsidR="00000000" w:rsidDel="00000000" w:rsidP="00000000" w:rsidRDefault="00000000" w:rsidRPr="00000000" w14:paraId="0000002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 writing, by the time and date by the time and date specified by the Buyer following an invitation to tender pursuant to Paragraph 3.1.3 above, provide CCS and the Buyer with either:</w:t>
      </w:r>
    </w:p>
    <w:p w:rsidR="00000000" w:rsidDel="00000000" w:rsidP="00000000" w:rsidRDefault="00000000" w:rsidRPr="00000000" w14:paraId="0000002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statement to the effect that it does not wish to tender in relation to the Deliverables; or</w:t>
      </w:r>
    </w:p>
    <w:p w:rsidR="00000000" w:rsidDel="00000000" w:rsidP="00000000" w:rsidRDefault="00000000" w:rsidRPr="00000000" w14:paraId="0000002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full details of its tender made in respect of the relevant Statement of Requirements. In the event that the Supplier submits such a tender, it should include, as a minimum:</w:t>
      </w:r>
    </w:p>
    <w:p w:rsidR="00000000" w:rsidDel="00000000" w:rsidP="00000000" w:rsidRDefault="00000000" w:rsidRPr="00000000" w14:paraId="0000002E">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email response subject line to comprise unique reference number and Supplier name, so as to clearly identify the Supplier;</w:t>
      </w:r>
    </w:p>
    <w:p w:rsidR="00000000" w:rsidDel="00000000" w:rsidP="00000000" w:rsidRDefault="00000000" w:rsidRPr="00000000" w14:paraId="0000002F">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30">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proposal covering the Deliverables;</w:t>
      </w:r>
    </w:p>
    <w:p w:rsidR="00000000" w:rsidDel="00000000" w:rsidP="00000000" w:rsidRDefault="00000000" w:rsidRPr="00000000" w14:paraId="00000031">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32">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confirmation of discounts applicable to the Deliverables, as referenced in Framework Schedule 3 (Framework Prices) (if applicable).</w:t>
      </w:r>
    </w:p>
    <w:p w:rsidR="00000000" w:rsidDel="00000000" w:rsidP="00000000" w:rsidRDefault="00000000" w:rsidRPr="00000000" w14:paraId="0000003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prices submitted in relation to a Further Competition Procedure held pursuant to this Paragraph 3 shall be based on the Framework Prices and take into account any discount to which the Buyer may be entitled as set out in Framework Schedule 3 (Framework Prices). To the extent that any additional requirements pursuant to Paragraph 1.3.3 above are not included in the Framework Prices, the Supplier shall submit additional pricing to the Buyer which is aligned with the principles of the Framework Prices.  </w:t>
      </w:r>
    </w:p>
    <w:p w:rsidR="00000000" w:rsidDel="00000000" w:rsidP="00000000" w:rsidRDefault="00000000" w:rsidRPr="00000000" w14:paraId="0000003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w:t>
      </w:r>
    </w:p>
    <w:p w:rsidR="00000000" w:rsidDel="00000000" w:rsidP="00000000" w:rsidRDefault="00000000" w:rsidRPr="00000000" w14:paraId="00000035">
      <w:pPr>
        <w:keepNext w:val="0"/>
        <w:keepLines w:val="0"/>
        <w:widowControl w:val="1"/>
        <w:numPr>
          <w:ilvl w:val="3"/>
          <w:numId w:val="5"/>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36">
      <w:pPr>
        <w:keepNext w:val="0"/>
        <w:keepLines w:val="0"/>
        <w:widowControl w:val="1"/>
        <w:numPr>
          <w:ilvl w:val="3"/>
          <w:numId w:val="5"/>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37">
      <w:pPr>
        <w:keepNext w:val="0"/>
        <w:keepLines w:val="0"/>
        <w:widowControl w:val="1"/>
        <w:numPr>
          <w:ilvl w:val="4"/>
          <w:numId w:val="5"/>
        </w:numPr>
        <w:pBdr>
          <w:top w:space="0" w:sz="0" w:val="nil"/>
          <w:left w:space="0" w:sz="0" w:val="nil"/>
          <w:bottom w:space="0" w:sz="0" w:val="nil"/>
          <w:right w:space="0" w:sz="0" w:val="nil"/>
          <w:between w:space="0" w:sz="0" w:val="nil"/>
        </w:pBdr>
        <w:shd w:fill="auto" w:val="clear"/>
        <w:tabs>
          <w:tab w:val="left"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38">
      <w:pPr>
        <w:keepNext w:val="0"/>
        <w:keepLines w:val="0"/>
        <w:widowControl w:val="1"/>
        <w:numPr>
          <w:ilvl w:val="4"/>
          <w:numId w:val="5"/>
        </w:numPr>
        <w:pBdr>
          <w:top w:space="0" w:sz="0" w:val="nil"/>
          <w:left w:space="0" w:sz="0" w:val="nil"/>
          <w:bottom w:space="0" w:sz="0" w:val="nil"/>
          <w:right w:space="0" w:sz="0" w:val="nil"/>
          <w:between w:space="0" w:sz="0" w:val="nil"/>
        </w:pBdr>
        <w:shd w:fill="auto" w:val="clear"/>
        <w:tabs>
          <w:tab w:val="left"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39">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No requirement to award</w:t>
      </w:r>
      <w:r w:rsidDel="00000000" w:rsidR="00000000" w:rsidRPr="00000000">
        <w:rPr>
          <w:rtl w:val="0"/>
        </w:rPr>
      </w:r>
    </w:p>
    <w:p w:rsidR="00000000" w:rsidDel="00000000" w:rsidP="00000000" w:rsidRDefault="00000000" w:rsidRPr="00000000" w14:paraId="0000003A">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rsidR="00000000" w:rsidDel="00000000" w:rsidP="00000000" w:rsidRDefault="00000000" w:rsidRPr="00000000" w14:paraId="0000003B">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Who is responsible for the award</w:t>
      </w:r>
    </w:p>
    <w:p w:rsidR="00000000" w:rsidDel="00000000" w:rsidP="00000000" w:rsidRDefault="00000000" w:rsidRPr="00000000" w14:paraId="0000003C">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000000" w:rsidDel="00000000" w:rsidP="00000000" w:rsidRDefault="00000000" w:rsidRPr="00000000" w14:paraId="0000003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Buyer in relation to this Contract; or</w:t>
      </w:r>
    </w:p>
    <w:p w:rsidR="00000000" w:rsidDel="00000000" w:rsidP="00000000" w:rsidRDefault="00000000" w:rsidRPr="00000000" w14:paraId="0000003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588" w:right="0" w:hanging="8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performance or non-performance of any Call-Off Contracts between the Supplier and Buyer entered into pursuant to this Contract.</w:t>
      </w:r>
    </w:p>
    <w:p w:rsidR="00000000" w:rsidDel="00000000" w:rsidP="00000000" w:rsidRDefault="00000000" w:rsidRPr="00000000" w14:paraId="0000003F">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Awarding and creating a Call-Off contract</w:t>
      </w:r>
      <w:r w:rsidDel="00000000" w:rsidR="00000000" w:rsidRPr="00000000">
        <w:rPr>
          <w:rtl w:val="0"/>
        </w:rPr>
      </w:r>
    </w:p>
    <w:p w:rsidR="00000000" w:rsidDel="00000000" w:rsidP="00000000" w:rsidRDefault="00000000" w:rsidRPr="00000000" w14:paraId="0000004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1 to 5 above,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p>
    <w:p w:rsidR="00000000" w:rsidDel="00000000" w:rsidP="00000000" w:rsidRDefault="00000000" w:rsidRPr="00000000" w14:paraId="0000004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p>
    <w:p w:rsidR="00000000" w:rsidDel="00000000" w:rsidP="00000000" w:rsidRDefault="00000000" w:rsidRPr="00000000" w14:paraId="0000004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receipt of an Order Form as described in Paragraph 6.1 from a Buyer the Supplier shall accept the Call-Off Contract by promptly signing and returning (including by electronic means) a copy of the Order Form to the Buyer concerned.</w:t>
      </w:r>
    </w:p>
    <w:p w:rsidR="00000000" w:rsidDel="00000000" w:rsidP="00000000" w:rsidRDefault="00000000" w:rsidRPr="00000000" w14:paraId="0000004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receipt of the countersigned Order Form from the Supplier, the Buyer shall send (including by electronic means) a written notice of receipt to the Supplier within two (2) Working Days and the Call-Off Contract shall be formed with effect from the Call-Off Start Date stated in the Order Form.</w:t>
      </w:r>
    </w:p>
    <w:p w:rsidR="00000000" w:rsidDel="00000000" w:rsidP="00000000" w:rsidRDefault="00000000" w:rsidRPr="00000000" w14:paraId="00000044">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left" w:pos="305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left" w:pos="3054"/>
        </w:tabs>
        <w:spacing w:after="120" w:before="120" w:line="240" w:lineRule="auto"/>
        <w:ind w:left="936" w:right="0" w:hanging="576"/>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2: Award Criteria</w:t>
      </w:r>
      <w:r w:rsidDel="00000000" w:rsidR="00000000" w:rsidRPr="00000000">
        <w:rPr>
          <w:rtl w:val="0"/>
        </w:rPr>
      </w:r>
    </w:p>
    <w:p w:rsidR="00000000" w:rsidDel="00000000" w:rsidP="00000000" w:rsidRDefault="00000000" w:rsidRPr="00000000" w14:paraId="00000047">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Part 2 lays out award criteria for direct award (Annex A) and for further competition (Annex B) in accordance with the Call-Off Procedure.</w:t>
      </w:r>
    </w:p>
    <w:p w:rsidR="00000000" w:rsidDel="00000000" w:rsidP="00000000" w:rsidRDefault="00000000" w:rsidRPr="00000000" w14:paraId="00000048">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Call-Off Contract may be awarded on the basis of most economically advantageous tender ("MEAT").</w:t>
      </w:r>
    </w:p>
    <w:p w:rsidR="00000000" w:rsidDel="00000000" w:rsidP="00000000" w:rsidRDefault="00000000" w:rsidRPr="00000000" w14:paraId="00000049">
      <w:pPr>
        <w:rPr>
          <w:rFonts w:ascii="Arial" w:cs="Arial" w:eastAsia="Arial" w:hAnsi="Arial"/>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A">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Direct award criteria</w:t>
      </w:r>
    </w:p>
    <w:p w:rsidR="00000000" w:rsidDel="00000000" w:rsidP="00000000" w:rsidRDefault="00000000" w:rsidRPr="00000000" w14:paraId="0000004B">
      <w:pPr>
        <w:keepNext w:val="1"/>
        <w:widowControl w:val="1"/>
        <w:pBdr>
          <w:top w:space="0" w:sz="0" w:val="nil"/>
          <w:left w:space="0" w:sz="0" w:val="nil"/>
          <w:bottom w:space="0" w:sz="0" w:val="nil"/>
          <w:right w:space="0" w:sz="0" w:val="nil"/>
          <w:between w:space="0" w:sz="0" w:val="nil"/>
        </w:pBdr>
        <w:spacing w:after="240" w:before="240" w:lineRule="auto"/>
        <w:ind w:firstLine="426"/>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Solution A or B</w:t>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for direct award of each Call-Off Contract.</w:t>
      </w:r>
    </w:p>
    <w:tbl>
      <w:tblPr>
        <w:tblStyle w:val="Table1"/>
        <w:tblW w:w="9214.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44"/>
        <w:gridCol w:w="5670"/>
        <w:tblGridChange w:id="0">
          <w:tblGrid>
            <w:gridCol w:w="3544"/>
            <w:gridCol w:w="5670"/>
          </w:tblGrid>
        </w:tblGridChange>
      </w:tblGrid>
      <w:tr>
        <w:tc>
          <w:tcPr>
            <w:shd w:fill="e7e6e6" w:val="clear"/>
          </w:tcPr>
          <w:p w:rsidR="00000000" w:rsidDel="00000000" w:rsidP="00000000" w:rsidRDefault="00000000" w:rsidRPr="00000000" w14:paraId="0000004D">
            <w:pPr>
              <w:keepNext w:val="1"/>
              <w:widowControl w:val="1"/>
              <w:pBdr>
                <w:top w:space="0" w:sz="0" w:val="nil"/>
                <w:left w:space="0" w:sz="0" w:val="nil"/>
                <w:bottom w:space="0" w:sz="0" w:val="nil"/>
                <w:right w:space="0" w:sz="0" w:val="nil"/>
                <w:between w:space="0" w:sz="0" w:val="nil"/>
              </w:pBdr>
              <w:spacing w:after="120" w:before="120" w:lineRule="auto"/>
              <w:ind w:left="142" w:hanging="142"/>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Criteria </w:t>
            </w:r>
          </w:p>
        </w:tc>
        <w:tc>
          <w:tcPr>
            <w:shd w:fill="e7e6e6" w:val="clear"/>
          </w:tcPr>
          <w:p w:rsidR="00000000" w:rsidDel="00000000" w:rsidP="00000000" w:rsidRDefault="00000000" w:rsidRPr="00000000" w14:paraId="0000004E">
            <w:pPr>
              <w:widowControl w:val="1"/>
              <w:tabs>
                <w:tab w:val="left" w:pos="851"/>
              </w:tabs>
              <w:spacing w:after="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Rank order of importance where 1 = most important, 2 = second most important etc.</w:t>
            </w:r>
          </w:p>
        </w:tc>
      </w:tr>
      <w:tr>
        <w:tc>
          <w:tcPr/>
          <w:p w:rsidR="00000000" w:rsidDel="00000000" w:rsidP="00000000" w:rsidRDefault="00000000" w:rsidRPr="00000000" w14:paraId="0000004F">
            <w:pPr>
              <w:keepNext w:val="1"/>
              <w:widowControl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Price (life cycle costs, cost effectiveness &amp; price; price and running costs)</w:t>
            </w:r>
          </w:p>
        </w:tc>
        <w:tc>
          <w:tcPr/>
          <w:p w:rsidR="00000000" w:rsidDel="00000000" w:rsidP="00000000" w:rsidRDefault="00000000" w:rsidRPr="00000000" w14:paraId="00000050">
            <w:pPr>
              <w:keepNext w:val="1"/>
              <w:widowControl w:val="1"/>
              <w:pBdr>
                <w:top w:space="0" w:sz="0" w:val="nil"/>
                <w:left w:space="0" w:sz="0" w:val="nil"/>
                <w:bottom w:space="0" w:sz="0" w:val="nil"/>
                <w:right w:space="0" w:sz="0" w:val="nil"/>
                <w:between w:space="0" w:sz="0" w:val="nil"/>
              </w:pBdr>
              <w:spacing w:after="120" w:before="240" w:lineRule="auto"/>
              <w:ind w:left="142" w:hanging="142"/>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1</w:t>
            </w:r>
            <w:r w:rsidDel="00000000" w:rsidR="00000000" w:rsidRPr="00000000">
              <w:rPr>
                <w:rtl w:val="0"/>
              </w:rPr>
            </w:r>
          </w:p>
        </w:tc>
      </w:tr>
      <w:tr>
        <w:tc>
          <w:tcPr/>
          <w:p w:rsidR="00000000" w:rsidDel="00000000" w:rsidP="00000000" w:rsidRDefault="00000000" w:rsidRPr="00000000" w14:paraId="00000051">
            <w:pPr>
              <w:keepNext w:val="1"/>
              <w:widowControl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Quality (including delivery time, sales service, good value, accessories, service fitness for purpose)</w:t>
            </w:r>
          </w:p>
        </w:tc>
        <w:tc>
          <w:tcPr/>
          <w:p w:rsidR="00000000" w:rsidDel="00000000" w:rsidP="00000000" w:rsidRDefault="00000000" w:rsidRPr="00000000" w14:paraId="00000052">
            <w:pPr>
              <w:keepNext w:val="1"/>
              <w:widowControl w:val="1"/>
              <w:pBdr>
                <w:top w:space="0" w:sz="0" w:val="nil"/>
                <w:left w:space="0" w:sz="0" w:val="nil"/>
                <w:bottom w:space="0" w:sz="0" w:val="nil"/>
                <w:right w:space="0" w:sz="0" w:val="nil"/>
                <w:between w:space="0" w:sz="0" w:val="nil"/>
              </w:pBdr>
              <w:spacing w:after="120" w:before="240" w:lineRule="auto"/>
              <w:ind w:left="142" w:hanging="142"/>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2</w:t>
            </w:r>
            <w:r w:rsidDel="00000000" w:rsidR="00000000" w:rsidRPr="00000000">
              <w:rPr>
                <w:rtl w:val="0"/>
              </w:rPr>
            </w:r>
          </w:p>
        </w:tc>
      </w:tr>
    </w:tbl>
    <w:p w:rsidR="00000000" w:rsidDel="00000000" w:rsidP="00000000" w:rsidRDefault="00000000" w:rsidRPr="00000000" w14:paraId="00000053">
      <w:pPr>
        <w:widowControl w:val="1"/>
        <w:pBdr>
          <w:top w:space="0" w:sz="0" w:val="nil"/>
          <w:left w:space="0" w:sz="0" w:val="nil"/>
          <w:bottom w:space="0" w:sz="0" w:val="nil"/>
          <w:right w:space="0" w:sz="0" w:val="nil"/>
          <w:between w:space="0" w:sz="0" w:val="nil"/>
        </w:pBdr>
        <w:ind w:left="1080"/>
        <w:jc w:val="both"/>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54">
      <w:pPr>
        <w:keepNext w:val="1"/>
        <w:widowControl w:val="1"/>
        <w:pBdr>
          <w:top w:space="0" w:sz="0" w:val="nil"/>
          <w:left w:space="0" w:sz="0" w:val="nil"/>
          <w:bottom w:space="0" w:sz="0" w:val="nil"/>
          <w:right w:space="0" w:sz="0" w:val="nil"/>
          <w:between w:space="0" w:sz="0" w:val="nil"/>
        </w:pBdr>
        <w:spacing w:after="240" w:before="24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B: Further Competition Award Criteria</w:t>
      </w:r>
    </w:p>
    <w:p w:rsidR="00000000" w:rsidDel="00000000" w:rsidP="00000000" w:rsidRDefault="00000000" w:rsidRPr="00000000" w14:paraId="00000055">
      <w:pPr>
        <w:keepNext w:val="1"/>
        <w:widowControl w:val="1"/>
        <w:pBdr>
          <w:top w:space="0" w:sz="0" w:val="nil"/>
          <w:left w:space="0" w:sz="0" w:val="nil"/>
          <w:bottom w:space="0" w:sz="0" w:val="nil"/>
          <w:right w:space="0" w:sz="0" w:val="nil"/>
          <w:between w:space="0" w:sz="0" w:val="nil"/>
        </w:pBdr>
        <w:spacing w:after="240" w:before="24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Solution B only</w:t>
      </w:r>
    </w:p>
    <w:p w:rsidR="00000000" w:rsidDel="00000000" w:rsidP="00000000" w:rsidRDefault="00000000" w:rsidRPr="00000000" w14:paraId="00000056">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of tenders (which cannot be evaluated on the basis of price only) received through the Further Competition Procedure:</w:t>
      </w:r>
    </w:p>
    <w:tbl>
      <w:tblPr>
        <w:tblStyle w:val="Table2"/>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8"/>
        <w:gridCol w:w="4508"/>
        <w:tblGridChange w:id="0">
          <w:tblGrid>
            <w:gridCol w:w="4508"/>
            <w:gridCol w:w="4508"/>
          </w:tblGrid>
        </w:tblGridChange>
      </w:tblGrid>
      <w:tr>
        <w:tc>
          <w:tcPr>
            <w:shd w:fill="e7e6e6" w:val="clear"/>
          </w:tcPr>
          <w:p w:rsidR="00000000" w:rsidDel="00000000" w:rsidP="00000000" w:rsidRDefault="00000000" w:rsidRPr="00000000" w14:paraId="00000057">
            <w:pPr>
              <w:widowControl w:val="1"/>
              <w:pBdr>
                <w:top w:space="0" w:sz="0" w:val="nil"/>
                <w:left w:space="0" w:sz="0" w:val="nil"/>
                <w:bottom w:space="0" w:sz="0" w:val="nil"/>
                <w:right w:space="0" w:sz="0" w:val="nil"/>
                <w:between w:space="0" w:sz="0" w:val="nil"/>
              </w:pBdr>
              <w:tabs>
                <w:tab w:val="left" w:pos="851"/>
              </w:tabs>
              <w:spacing w:after="120" w:before="12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Criteria</w:t>
            </w:r>
            <w:r w:rsidDel="00000000" w:rsidR="00000000" w:rsidRPr="00000000">
              <w:rPr>
                <w:rtl w:val="0"/>
              </w:rPr>
            </w:r>
          </w:p>
        </w:tc>
        <w:tc>
          <w:tcPr>
            <w:shd w:fill="e7e6e6" w:val="clear"/>
          </w:tcPr>
          <w:p w:rsidR="00000000" w:rsidDel="00000000" w:rsidP="00000000" w:rsidRDefault="00000000" w:rsidRPr="00000000" w14:paraId="00000058">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Rank order of importance where 1 = most important, 2 = second most important etc.</w:t>
            </w:r>
          </w:p>
        </w:tc>
      </w:tr>
      <w:tr>
        <w:tc>
          <w:tcPr/>
          <w:p w:rsidR="00000000" w:rsidDel="00000000" w:rsidP="00000000" w:rsidRDefault="00000000" w:rsidRPr="00000000" w14:paraId="00000059">
            <w:pPr>
              <w:widowControl w:val="1"/>
              <w:shd w:fill="ffffff" w:val="clear"/>
              <w:tabs>
                <w:tab w:val="left" w:pos="851"/>
              </w:tabs>
              <w:spacing w:after="120" w:before="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Security requirements beyond Cyber Essentials</w:t>
            </w:r>
          </w:p>
        </w:tc>
        <w:tc>
          <w:tcPr/>
          <w:p w:rsidR="00000000" w:rsidDel="00000000" w:rsidP="00000000" w:rsidRDefault="00000000" w:rsidRPr="00000000" w14:paraId="0000005A">
            <w:pPr>
              <w:widowControl w:val="1"/>
              <w:shd w:fill="ffffff" w:val="clear"/>
              <w:tabs>
                <w:tab w:val="left" w:pos="851"/>
              </w:tabs>
              <w:spacing w:after="120" w:before="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w:t>
            </w:r>
          </w:p>
        </w:tc>
      </w:tr>
      <w:tr>
        <w:tc>
          <w:tcPr/>
          <w:p w:rsidR="00000000" w:rsidDel="00000000" w:rsidP="00000000" w:rsidRDefault="00000000" w:rsidRPr="00000000" w14:paraId="0000005B">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Additional SLAs</w:t>
            </w:r>
            <w:r w:rsidDel="00000000" w:rsidR="00000000" w:rsidRPr="00000000">
              <w:rPr>
                <w:rtl w:val="0"/>
              </w:rPr>
            </w:r>
          </w:p>
        </w:tc>
        <w:tc>
          <w:tcPr/>
          <w:p w:rsidR="00000000" w:rsidDel="00000000" w:rsidP="00000000" w:rsidRDefault="00000000" w:rsidRPr="00000000" w14:paraId="0000005C">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2</w:t>
            </w:r>
            <w:r w:rsidDel="00000000" w:rsidR="00000000" w:rsidRPr="00000000">
              <w:rPr>
                <w:rtl w:val="0"/>
              </w:rPr>
            </w:r>
          </w:p>
        </w:tc>
      </w:tr>
      <w:tr>
        <w:tc>
          <w:tcPr/>
          <w:p w:rsidR="00000000" w:rsidDel="00000000" w:rsidP="00000000" w:rsidRDefault="00000000" w:rsidRPr="00000000" w14:paraId="0000005D">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Rail ticket printers</w:t>
            </w:r>
            <w:r w:rsidDel="00000000" w:rsidR="00000000" w:rsidRPr="00000000">
              <w:rPr>
                <w:rtl w:val="0"/>
              </w:rPr>
            </w:r>
          </w:p>
        </w:tc>
        <w:tc>
          <w:tcPr/>
          <w:p w:rsidR="00000000" w:rsidDel="00000000" w:rsidP="00000000" w:rsidRDefault="00000000" w:rsidRPr="00000000" w14:paraId="0000005E">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3</w:t>
            </w:r>
            <w:r w:rsidDel="00000000" w:rsidR="00000000" w:rsidRPr="00000000">
              <w:rPr>
                <w:rtl w:val="0"/>
              </w:rPr>
            </w:r>
          </w:p>
        </w:tc>
      </w:tr>
      <w:tr>
        <w:tc>
          <w:tcPr/>
          <w:p w:rsidR="00000000" w:rsidDel="00000000" w:rsidP="00000000" w:rsidRDefault="00000000" w:rsidRPr="00000000" w14:paraId="0000005F">
            <w:pPr>
              <w:widowControl w:val="1"/>
              <w:tabs>
                <w:tab w:val="left"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Supplier implants (</w:t>
            </w:r>
            <w:r w:rsidDel="00000000" w:rsidR="00000000" w:rsidRPr="00000000">
              <w:rPr>
                <w:rFonts w:ascii="Arial" w:cs="Arial" w:eastAsia="Arial" w:hAnsi="Arial"/>
                <w:color w:val="222222"/>
                <w:sz w:val="24"/>
                <w:szCs w:val="24"/>
                <w:rtl w:val="0"/>
              </w:rPr>
              <w:t xml:space="preserve">Supplier’s staff working from Buyer’s offices, working exclusively for them)</w:t>
            </w:r>
            <w:r w:rsidDel="00000000" w:rsidR="00000000" w:rsidRPr="00000000">
              <w:rPr>
                <w:rtl w:val="0"/>
              </w:rPr>
            </w:r>
          </w:p>
        </w:tc>
        <w:tc>
          <w:tcPr/>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4</w:t>
            </w:r>
            <w:r w:rsidDel="00000000" w:rsidR="00000000" w:rsidRPr="00000000">
              <w:rPr>
                <w:rtl w:val="0"/>
              </w:rPr>
            </w:r>
          </w:p>
        </w:tc>
      </w:tr>
    </w:tbl>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8" w:w="11906"/>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8">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69">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A">
    <w:pPr>
      <w:tabs>
        <w:tab w:val="left" w:pos="720"/>
        <w:tab w:val="left" w:pos="1440"/>
        <w:tab w:val="left" w:pos="2160"/>
        <w:tab w:val="left" w:pos="2880"/>
        <w:tab w:val="left" w:pos="3600"/>
        <w:tab w:val="center"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B">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RM6164</w:t>
      <w:tab/>
      <w:t xml:space="preserve">                                           </w:t>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D">
    <w:pPr>
      <w:tabs>
        <w:tab w:val="left" w:pos="720"/>
        <w:tab w:val="left" w:pos="1440"/>
        <w:tab w:val="left" w:pos="2160"/>
        <w:tab w:val="left" w:pos="2880"/>
        <w:tab w:val="left" w:pos="3600"/>
        <w:tab w:val="center"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v3.1</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7 (Call-Off Award Procedure)</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7 (Call-Off Award Procedure)</w:t>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588" w:hanging="867.9999999999999"/>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52" w:hanging="964.0000000000002"/>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Bold" w:cs="Arial Bold" w:eastAsia="Arial Bold" w:hAnsi="Arial Bold"/>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360" w:hanging="360"/>
      </w:pPr>
      <w:rPr>
        <w:rFonts w:ascii="Arial Bold" w:cs="Arial Bold" w:eastAsia="Arial Bold" w:hAnsi="Arial Bold"/>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decimal"/>
      <w:lvlText w:val="%1."/>
      <w:lvlJc w:val="left"/>
      <w:pPr>
        <w:ind w:left="360" w:hanging="360"/>
      </w:pPr>
      <w:rPr>
        <w:rFonts w:ascii="Arial Bold" w:cs="Arial Bold" w:eastAsia="Arial Bold" w:hAnsi="Arial Bold"/>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6">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rsid w:val="0004307B"/>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Standard" w:customStyle="1">
    <w:name w:val="Standard"/>
    <w:pPr>
      <w:widowControl w:val="1"/>
      <w:spacing w:after="240"/>
      <w:jc w:val="both"/>
    </w:pPr>
    <w:rPr>
      <w:rFonts w:cs="Arial" w:eastAsia="Times New Roman"/>
    </w:rPr>
  </w:style>
  <w:style w:type="paragraph" w:styleId="Heading" w:customStyle="1">
    <w:name w:val="Heading"/>
    <w:basedOn w:val="Standard"/>
    <w:next w:val="Textbody"/>
    <w:pPr>
      <w:keepNext w:val="1"/>
      <w:spacing w:after="120" w:before="240"/>
    </w:pPr>
    <w:rPr>
      <w:rFonts w:ascii="Liberation Sans" w:cs="Arial Unicode MS" w:eastAsia="Arial Unicode MS" w:hAnsi="Liberation Sans"/>
      <w:sz w:val="28"/>
      <w:szCs w:val="28"/>
    </w:rPr>
  </w:style>
  <w:style w:type="paragraph" w:styleId="Textbody" w:customStyle="1">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val="1"/>
      <w:spacing w:after="120" w:before="120"/>
    </w:pPr>
    <w:rPr>
      <w:i w:val="1"/>
      <w:iCs w:val="1"/>
      <w:sz w:val="24"/>
      <w:szCs w:val="24"/>
    </w:rPr>
  </w:style>
  <w:style w:type="paragraph" w:styleId="Index" w:customStyle="1">
    <w:name w:val="Index"/>
    <w:basedOn w:val="Standard"/>
    <w:pPr>
      <w:suppressLineNumbers w:val="1"/>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styleId="MarginText" w:customStyle="1">
    <w:name w:val="Margin Text"/>
    <w:basedOn w:val="Standard"/>
    <w:pPr>
      <w:keepNext w:val="1"/>
      <w:overflowPunct w:val="0"/>
      <w:spacing w:after="120" w:before="240"/>
      <w:ind w:left="142"/>
      <w:textAlignment w:val="auto"/>
    </w:pPr>
    <w:rPr>
      <w:rFonts w:cs="Times New Roman" w:eastAsia="STZhongsong"/>
      <w:szCs w:val="18"/>
      <w:lang w:eastAsia="zh-CN"/>
    </w:rPr>
  </w:style>
  <w:style w:type="paragraph" w:styleId="GPSL1CLAUSEHEADING" w:customStyle="1">
    <w:name w:val="GPS L1 CLAUSE HEADING"/>
    <w:basedOn w:val="Standard"/>
    <w:next w:val="Standard"/>
    <w:qFormat w:val="1"/>
    <w:pPr>
      <w:tabs>
        <w:tab w:val="left" w:pos="142"/>
      </w:tabs>
      <w:overflowPunct w:val="0"/>
      <w:spacing w:before="120"/>
      <w:textAlignment w:val="auto"/>
      <w:outlineLvl w:val="1"/>
    </w:pPr>
    <w:rPr>
      <w:rFonts w:eastAsia="STZhongsong"/>
      <w:b w:val="1"/>
      <w:caps w:val="1"/>
      <w:lang w:eastAsia="zh-CN"/>
    </w:rPr>
  </w:style>
  <w:style w:type="paragraph" w:styleId="GPSL3numberedclause" w:customStyle="1">
    <w:name w:val="GPS L3 numbered clause"/>
    <w:basedOn w:val="Standard"/>
    <w:qFormat w:val="1"/>
    <w:pPr>
      <w:tabs>
        <w:tab w:val="left" w:pos="3641"/>
      </w:tabs>
      <w:overflowPunct w:val="0"/>
      <w:spacing w:after="120" w:before="120"/>
      <w:ind w:left="1656"/>
      <w:textAlignment w:val="auto"/>
    </w:pPr>
    <w:rPr>
      <w:lang w:eastAsia="zh-CN"/>
    </w:rPr>
  </w:style>
  <w:style w:type="paragraph" w:styleId="GPSL4numberedclause" w:customStyle="1">
    <w:name w:val="GPS L4 numbered clause"/>
    <w:basedOn w:val="GPSL3numberedclause"/>
    <w:qFormat w:val="1"/>
    <w:pPr>
      <w:tabs>
        <w:tab w:val="clear" w:pos="3641"/>
      </w:tabs>
      <w:ind w:left="2592" w:hanging="936"/>
    </w:pPr>
  </w:style>
  <w:style w:type="paragraph" w:styleId="GPSL5numberedclause" w:customStyle="1">
    <w:name w:val="GPS L5 numbered clause"/>
    <w:basedOn w:val="GPSL4numberedclause"/>
    <w:qFormat w:val="1"/>
    <w:pPr>
      <w:tabs>
        <w:tab w:val="left" w:pos="6238"/>
      </w:tabs>
      <w:ind w:left="3119" w:hanging="567"/>
    </w:pPr>
  </w:style>
  <w:style w:type="paragraph" w:styleId="GPSL2NumberedBoldHeading" w:customStyle="1">
    <w:name w:val="GPS L2 Numbered Bold Heading"/>
    <w:basedOn w:val="Standard"/>
    <w:link w:val="GPSL2NumberedBoldHeadingChar"/>
    <w:qFormat w:val="1"/>
    <w:pPr>
      <w:tabs>
        <w:tab w:val="left" w:pos="3054"/>
      </w:tabs>
      <w:overflowPunct w:val="0"/>
      <w:spacing w:after="120" w:before="120"/>
      <w:ind w:left="1920"/>
      <w:textAlignment w:val="auto"/>
    </w:pPr>
    <w:rPr>
      <w:b w:val="1"/>
      <w:lang w:eastAsia="zh-CN"/>
    </w:rPr>
  </w:style>
  <w:style w:type="paragraph" w:styleId="GPSL6numbered" w:customStyle="1">
    <w:name w:val="GPS L6 numbered"/>
    <w:basedOn w:val="GPSL5numberedclause"/>
    <w:qFormat w:val="1"/>
    <w:pPr>
      <w:tabs>
        <w:tab w:val="clear" w:pos="6238"/>
        <w:tab w:val="left" w:pos="4046"/>
        <w:tab w:val="left" w:pos="7372"/>
      </w:tabs>
      <w:ind w:left="3686"/>
    </w:pPr>
  </w:style>
  <w:style w:type="paragraph" w:styleId="GPSL1Guidance" w:customStyle="1">
    <w:name w:val="GPS L1 Guidance"/>
    <w:basedOn w:val="Standard"/>
    <w:pPr>
      <w:spacing w:after="120" w:before="240"/>
      <w:ind w:left="426"/>
    </w:pPr>
    <w:rPr>
      <w:b w:val="1"/>
      <w:i w:val="1"/>
    </w:rPr>
  </w:style>
  <w:style w:type="paragraph" w:styleId="GPSL1SCHEDULEHeading" w:customStyle="1">
    <w:name w:val="GPS L1 SCHEDULE Heading"/>
    <w:basedOn w:val="GPSL1CLAUSEHEADING"/>
    <w:pPr>
      <w:tabs>
        <w:tab w:val="clear" w:pos="142"/>
      </w:tabs>
    </w:pPr>
  </w:style>
  <w:style w:type="paragraph" w:styleId="GPSmacrorestart" w:customStyle="1">
    <w:name w:val="GPS macro restart"/>
    <w:basedOn w:val="Standard"/>
    <w:qFormat w:val="1"/>
    <w:pPr>
      <w:spacing w:after="0"/>
    </w:pPr>
    <w:rPr>
      <w:color w:val="ffffff"/>
      <w:sz w:val="16"/>
      <w:szCs w:val="16"/>
    </w:rPr>
  </w:style>
  <w:style w:type="paragraph" w:styleId="GPSSchTitleandNumber" w:customStyle="1">
    <w:name w:val="GPS Sch Title and Number"/>
    <w:basedOn w:val="Standard"/>
    <w:pPr>
      <w:keepNext w:val="1"/>
      <w:overflowPunct w:val="0"/>
      <w:ind w:firstLine="426"/>
      <w:jc w:val="center"/>
      <w:textAlignment w:val="auto"/>
      <w:outlineLvl w:val="0"/>
    </w:pPr>
    <w:rPr>
      <w:rFonts w:ascii="Arial Bold" w:cs="Times New Roman" w:eastAsia="STZhongsong" w:hAnsi="Arial Bold"/>
      <w:b w:val="1"/>
      <w:caps w:val="1"/>
      <w:lang w:eastAsia="zh-CN"/>
    </w:rPr>
  </w:style>
  <w:style w:type="paragraph" w:styleId="GPSSchPart" w:customStyle="1">
    <w:name w:val="GPS Sch Part"/>
    <w:basedOn w:val="Standard"/>
    <w:qFormat w:val="1"/>
    <w:pPr>
      <w:keepNext w:val="1"/>
      <w:overflowPunct w:val="0"/>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pPr>
      <w:tabs>
        <w:tab w:val="clear" w:pos="3054"/>
      </w:tabs>
      <w:ind w:left="936" w:hanging="576"/>
    </w:pPr>
    <w:rPr>
      <w:b w:val="0"/>
    </w:rPr>
  </w:style>
  <w:style w:type="paragraph" w:styleId="GPSL1Schedulenumbered" w:customStyle="1">
    <w:name w:val="GPS L1 Schedule numbered"/>
    <w:basedOn w:val="Standard"/>
    <w:qFormat w:val="1"/>
    <w:pPr>
      <w:tabs>
        <w:tab w:val="left" w:pos="851"/>
      </w:tabs>
    </w:pPr>
  </w:style>
  <w:style w:type="paragraph" w:styleId="BalloonText">
    <w:name w:val="Balloon Text"/>
    <w:basedOn w:val="Standard"/>
    <w:pPr>
      <w:spacing w:after="0"/>
    </w:pPr>
    <w:rPr>
      <w:rFonts w:ascii="Tahoma" w:cs="Tahoma" w:eastAsia="Tahoma" w:hAnsi="Tahoma"/>
      <w:sz w:val="16"/>
      <w:szCs w:val="16"/>
    </w:rPr>
  </w:style>
  <w:style w:type="paragraph" w:styleId="GPSL2Guidance" w:customStyle="1">
    <w:name w:val="GPS L2 Guidance"/>
    <w:basedOn w:val="Standard"/>
    <w:pPr>
      <w:tabs>
        <w:tab w:val="left" w:pos="2268"/>
      </w:tabs>
      <w:overflowPunct w:val="0"/>
      <w:spacing w:after="120" w:before="120"/>
      <w:ind w:left="1134"/>
      <w:textAlignment w:val="auto"/>
    </w:pPr>
    <w:rPr>
      <w:b w:val="1"/>
      <w:i w:val="1"/>
      <w:lang w:eastAsia="zh-CN"/>
    </w:rPr>
  </w:style>
  <w:style w:type="paragraph" w:styleId="GPSL2Indent" w:customStyle="1">
    <w:name w:val="GPS L2 Indent"/>
    <w:basedOn w:val="Standard"/>
    <w:pPr>
      <w:tabs>
        <w:tab w:val="left" w:pos="4536"/>
      </w:tabs>
      <w:spacing w:after="220"/>
      <w:ind w:left="1134"/>
    </w:pPr>
    <w:rPr>
      <w:szCs w:val="24"/>
    </w:rPr>
  </w:style>
  <w:style w:type="paragraph" w:styleId="GPSL4Guidance" w:customStyle="1">
    <w:name w:val="GPS L4 Guidance"/>
    <w:basedOn w:val="Standard"/>
    <w:pPr>
      <w:tabs>
        <w:tab w:val="left" w:pos="3970"/>
      </w:tabs>
      <w:overflowPunct w:val="0"/>
      <w:spacing w:after="120" w:before="120"/>
      <w:ind w:left="1985"/>
      <w:textAlignment w:val="auto"/>
    </w:pPr>
    <w:rPr>
      <w:b w:val="1"/>
      <w:i w:val="1"/>
      <w:lang w:eastAsia="zh-CN"/>
    </w:rPr>
  </w:style>
  <w:style w:type="paragraph" w:styleId="GPSL2non-numberboldheading" w:customStyle="1">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val="1"/>
      <w:bCs w:val="1"/>
    </w:rPr>
  </w:style>
  <w:style w:type="character" w:styleId="HeaderChar" w:customStyle="1">
    <w:name w:val="Header Char"/>
    <w:basedOn w:val="DefaultParagraphFont"/>
  </w:style>
  <w:style w:type="character" w:styleId="FooterChar" w:customStyle="1">
    <w:name w:val="Footer Char"/>
    <w:basedOn w:val="DefaultParagraphFont"/>
    <w:uiPriority w:val="99"/>
  </w:style>
  <w:style w:type="character" w:styleId="Emphasis">
    <w:name w:val="Emphasis"/>
    <w:basedOn w:val="DefaultParagraphFont"/>
    <w:rPr>
      <w:i w:val="1"/>
      <w:iCs w:val="1"/>
    </w:rPr>
  </w:style>
  <w:style w:type="character" w:styleId="MarginTextChar" w:customStyle="1">
    <w:name w:val="Margin Text Char"/>
    <w:rPr>
      <w:rFonts w:ascii="Calibri" w:cs="Times New Roman" w:eastAsia="STZhongsong" w:hAnsi="Calibri"/>
      <w:szCs w:val="18"/>
      <w:lang w:eastAsia="zh-CN"/>
    </w:rPr>
  </w:style>
  <w:style w:type="character" w:styleId="GPSL2NumberedChar" w:customStyle="1">
    <w:name w:val="GPS L2 Numbered Char"/>
    <w:rPr>
      <w:rFonts w:ascii="Calibri" w:cs="Arial" w:eastAsia="Times New Roman" w:hAnsi="Calibri"/>
      <w:lang w:eastAsia="zh-CN"/>
    </w:rPr>
  </w:style>
  <w:style w:type="character" w:styleId="GPSL1SCHEDULEHeadingChar" w:customStyle="1">
    <w:name w:val="GPS L1 SCHEDULE Heading Char"/>
    <w:rPr>
      <w:rFonts w:ascii="Calibri" w:cs="Arial" w:eastAsia="STZhongsong" w:hAnsi="Calibri"/>
      <w:b w:val="1"/>
      <w:caps w:val="1"/>
      <w:lang w:eastAsia="zh-CN"/>
    </w:rPr>
  </w:style>
  <w:style w:type="character" w:styleId="GPSL1SchedulenumberedChar1" w:customStyle="1">
    <w:name w:val="GPS L1 Schedule numbered Char1"/>
    <w:rPr>
      <w:rFonts w:ascii="Calibri" w:cs="Arial" w:eastAsia="Times New Roman" w:hAnsi="Calibri"/>
    </w:rPr>
  </w:style>
  <w:style w:type="character" w:styleId="GPSL1GuidanceChar" w:customStyle="1">
    <w:name w:val="GPS L1 Guidance Char"/>
    <w:rPr>
      <w:rFonts w:ascii="Calibri" w:cs="Arial" w:eastAsia="Times New Roman" w:hAnsi="Calibri"/>
      <w:b w:val="1"/>
      <w:i w:val="1"/>
    </w:rPr>
  </w:style>
  <w:style w:type="character" w:styleId="GPSSchTitleandNumberChar" w:customStyle="1">
    <w:name w:val="GPS Sch Title and Number Char"/>
    <w:rPr>
      <w:rFonts w:ascii="Arial Bold" w:cs="Times New Roman" w:eastAsia="STZhongsong" w:hAnsi="Arial Bold"/>
      <w:b w:val="1"/>
      <w:caps w:val="1"/>
      <w:lang w:eastAsia="zh-CN"/>
    </w:rPr>
  </w:style>
  <w:style w:type="character" w:styleId="GPSSchPartChar" w:customStyle="1">
    <w:name w:val="GPS Sch Part Char"/>
    <w:rPr>
      <w:rFonts w:ascii="Arial Bold" w:cs="Times New Roman" w:eastAsia="STZhongsong" w:hAnsi="Arial Bold"/>
      <w:b w:val="1"/>
      <w:caps w:val="1"/>
      <w:lang w:eastAsia="zh-CN"/>
    </w:rPr>
  </w:style>
  <w:style w:type="character" w:styleId="BalloonTextChar" w:customStyle="1">
    <w:name w:val="Balloon Text Char"/>
    <w:basedOn w:val="DefaultParagraphFont"/>
    <w:rPr>
      <w:rFonts w:ascii="Tahoma" w:cs="Tahoma" w:eastAsia="Times New Roman" w:hAnsi="Tahoma"/>
      <w:sz w:val="16"/>
      <w:szCs w:val="16"/>
    </w:rPr>
  </w:style>
  <w:style w:type="character" w:styleId="GPSL4numberedclauseChar" w:customStyle="1">
    <w:name w:val="GPS L4 numbered clause Char"/>
    <w:rPr>
      <w:rFonts w:ascii="Calibri" w:cs="Arial" w:eastAsia="Times New Roman" w:hAnsi="Calibri"/>
      <w:lang w:eastAsia="zh-CN"/>
    </w:rPr>
  </w:style>
  <w:style w:type="character" w:styleId="GPSL3numberedclauseChar" w:customStyle="1">
    <w:name w:val="GPS L3 numbered clause Char"/>
    <w:rPr>
      <w:rFonts w:ascii="Calibri" w:cs="Arial" w:eastAsia="Times New Roman" w:hAnsi="Calibri"/>
      <w:lang w:eastAsia="zh-CN"/>
    </w:rPr>
  </w:style>
  <w:style w:type="character" w:styleId="GPSL5numberedclauseChar" w:customStyle="1">
    <w:name w:val="GPS L5 numbered clause Char"/>
    <w:rPr>
      <w:rFonts w:ascii="Calibri" w:cs="Arial" w:eastAsia="Times New Roman" w:hAnsi="Calibri"/>
      <w:lang w:eastAsia="zh-CN"/>
    </w:rPr>
  </w:style>
  <w:style w:type="character" w:styleId="GPSL4GuidanceChar" w:customStyle="1">
    <w:name w:val="GPS L4 Guidance Char"/>
    <w:rPr>
      <w:rFonts w:ascii="Calibri" w:cs="Arial" w:eastAsia="Times New Roman" w:hAnsi="Calibri"/>
      <w:b w:val="1"/>
      <w:i w:val="1"/>
      <w:lang w:eastAsia="zh-CN"/>
    </w:rPr>
  </w:style>
  <w:style w:type="character" w:styleId="GPSL2non-numberboldheadingChar" w:customStyle="1">
    <w:name w:val="GPS L2 non-number bold heading Char"/>
    <w:rPr>
      <w:rFonts w:ascii="Calibri" w:cs="Arial" w:eastAsia="Times New Roman" w:hAnsi="Calibri"/>
      <w:b w:val="1"/>
      <w:lang w:eastAsia="zh-CN"/>
    </w:rPr>
  </w:style>
  <w:style w:type="character" w:styleId="GPSL2IndentChar" w:customStyle="1">
    <w:name w:val="GPS L2 Indent Char"/>
    <w:rPr>
      <w:rFonts w:ascii="Calibri" w:cs="Arial" w:eastAsia="Times New Roman" w:hAnsi="Calibri"/>
      <w:szCs w:val="24"/>
    </w:rPr>
  </w:style>
  <w:style w:type="character" w:styleId="GPSL2GuidanceChar" w:customStyle="1">
    <w:name w:val="GPS L2 Guidance Char"/>
    <w:rPr>
      <w:rFonts w:ascii="Calibri" w:cs="Arial" w:eastAsia="Times New Roman" w:hAnsi="Calibri"/>
      <w:b w:val="1"/>
      <w:i w:val="1"/>
      <w:lang w:eastAsia="zh-CN"/>
    </w:rPr>
  </w:style>
  <w:style w:type="character" w:styleId="CommentReference">
    <w:name w:val="annotation reference"/>
    <w:basedOn w:val="DefaultParagraphFont"/>
    <w:rPr>
      <w:sz w:val="16"/>
      <w:szCs w:val="16"/>
    </w:rPr>
  </w:style>
  <w:style w:type="character" w:styleId="CommentTextChar" w:customStyle="1">
    <w:name w:val="Comment Text Char"/>
    <w:basedOn w:val="DefaultParagraphFont"/>
    <w:rPr>
      <w:rFonts w:ascii="Calibri" w:cs="Arial" w:eastAsia="Times New Roman" w:hAnsi="Calibri"/>
      <w:sz w:val="20"/>
      <w:szCs w:val="20"/>
    </w:rPr>
  </w:style>
  <w:style w:type="character" w:styleId="CommentSubjectChar" w:customStyle="1">
    <w:name w:val="Comment Subject Char"/>
    <w:basedOn w:val="CommentTextChar"/>
    <w:rPr>
      <w:rFonts w:ascii="Calibri" w:cs="Arial" w:eastAsia="Times New Roman" w:hAnsi="Calibri"/>
      <w:b w:val="1"/>
      <w:bCs w:val="1"/>
      <w:sz w:val="20"/>
      <w:szCs w:val="20"/>
    </w:rPr>
  </w:style>
  <w:style w:type="character" w:styleId="ListLabel1" w:customStyle="1">
    <w:name w:val="ListLabel 1"/>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 w:customStyle="1">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 w:customStyle="1">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 w:customStyle="1">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 w:customStyle="1">
    <w:name w:val="ListLabel 5"/>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 w:customStyle="1">
    <w:name w:val="ListLabel 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 w:customStyle="1">
    <w:name w:val="ListLabel 7"/>
    <w:rPr>
      <w:rFonts w:cs="Times New Roman"/>
    </w:rPr>
  </w:style>
  <w:style w:type="character" w:styleId="ListLabel8" w:customStyle="1">
    <w:name w:val="ListLabel 8"/>
    <w:rPr>
      <w:rFonts w:cs="Times New Roman"/>
    </w:rPr>
  </w:style>
  <w:style w:type="character" w:styleId="ListLabel9" w:customStyle="1">
    <w:name w:val="ListLabel 9"/>
    <w:rPr>
      <w:rFonts w:cs="Times New Roman"/>
    </w:rPr>
  </w:style>
  <w:style w:type="character" w:styleId="ListLabel10" w:customStyle="1">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11" w:customStyle="1">
    <w:name w:val="ListLabel 11"/>
    <w:rPr>
      <w:rFonts w:cs="Times New Roman"/>
    </w:rPr>
  </w:style>
  <w:style w:type="character" w:styleId="ListLabel12" w:customStyle="1">
    <w:name w:val="ListLabel 12"/>
    <w:rPr>
      <w:rFonts w:cs="Times New Roman"/>
    </w:rPr>
  </w:style>
  <w:style w:type="character" w:styleId="ListLabel13" w:customStyle="1">
    <w:name w:val="ListLabel 13"/>
    <w:rPr>
      <w:rFonts w:cs="Times New Roman"/>
    </w:rPr>
  </w:style>
  <w:style w:type="character" w:styleId="ListLabel14" w:customStyle="1">
    <w:name w:val="ListLabel 14"/>
    <w:rPr>
      <w:rFonts w:cs="Times New Roman"/>
    </w:rPr>
  </w:style>
  <w:style w:type="character" w:styleId="ListLabel15" w:customStyle="1">
    <w:name w:val="ListLabel 15"/>
    <w:rPr>
      <w:rFonts w:cs="Times New Roman"/>
    </w:rPr>
  </w:style>
  <w:style w:type="character" w:styleId="ListLabel16" w:customStyle="1">
    <w:name w:val="ListLabel 16"/>
    <w:rPr>
      <w:rFonts w:cs="Times New Roman"/>
    </w:rPr>
  </w:style>
  <w:style w:type="character" w:styleId="ListLabel17" w:customStyle="1">
    <w:name w:val="ListLabel 17"/>
    <w:rPr>
      <w:rFonts w:cs="Times New Roman"/>
    </w:rPr>
  </w:style>
  <w:style w:type="character" w:styleId="ListLabel18" w:customStyle="1">
    <w:name w:val="ListLabel 18"/>
    <w:rPr>
      <w:rFonts w:cs="Times New Roman"/>
    </w:rPr>
  </w:style>
  <w:style w:type="character" w:styleId="ListLabel19" w:customStyle="1">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0" w:customStyle="1">
    <w:name w:val="ListLabel 20"/>
    <w:rPr>
      <w:rFonts w:cs="Times New Roman"/>
    </w:rPr>
  </w:style>
  <w:style w:type="character" w:styleId="ListLabel21" w:customStyle="1">
    <w:name w:val="ListLabel 21"/>
    <w:rPr>
      <w:rFonts w:cs="Times New Roman"/>
    </w:rPr>
  </w:style>
  <w:style w:type="character" w:styleId="ListLabel22" w:customStyle="1">
    <w:name w:val="ListLabel 22"/>
    <w:rPr>
      <w:rFonts w:cs="Times New Roman"/>
    </w:rPr>
  </w:style>
  <w:style w:type="character" w:styleId="ListLabel23" w:customStyle="1">
    <w:name w:val="ListLabel 23"/>
    <w:rPr>
      <w:rFonts w:cs="Times New Roman"/>
    </w:rPr>
  </w:style>
  <w:style w:type="character" w:styleId="ListLabel24" w:customStyle="1">
    <w:name w:val="ListLabel 24"/>
    <w:rPr>
      <w:rFonts w:cs="Times New Roman"/>
    </w:rPr>
  </w:style>
  <w:style w:type="character" w:styleId="ListLabel25" w:customStyle="1">
    <w:name w:val="ListLabel 25"/>
    <w:rPr>
      <w:rFonts w:cs="Times New Roman"/>
    </w:rPr>
  </w:style>
  <w:style w:type="character" w:styleId="ListLabel26" w:customStyle="1">
    <w:name w:val="ListLabel 26"/>
    <w:rPr>
      <w:rFonts w:cs="Times New Roman"/>
    </w:rPr>
  </w:style>
  <w:style w:type="character" w:styleId="ListLabel27" w:customStyle="1">
    <w:name w:val="ListLabel 27"/>
    <w:rPr>
      <w:rFonts w:cs="Times New Roman"/>
    </w:rPr>
  </w:style>
  <w:style w:type="character" w:styleId="ListLabel28" w:customStyle="1">
    <w:name w:val="ListLabel 28"/>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9" w:customStyle="1">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0" w:customStyle="1">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1" w:customStyle="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2" w:customStyle="1">
    <w:name w:val="ListLabel 3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3" w:customStyle="1">
    <w:name w:val="ListLabel 33"/>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4" w:customStyle="1">
    <w:name w:val="ListLabel 34"/>
    <w:rPr>
      <w:rFonts w:cs="Times New Roman"/>
    </w:rPr>
  </w:style>
  <w:style w:type="character" w:styleId="ListLabel35" w:customStyle="1">
    <w:name w:val="ListLabel 35"/>
    <w:rPr>
      <w:rFonts w:cs="Times New Roman"/>
    </w:rPr>
  </w:style>
  <w:style w:type="character" w:styleId="ListLabel36" w:customStyle="1">
    <w:name w:val="ListLabel 36"/>
    <w:rPr>
      <w:rFonts w:cs="Times New Roman"/>
    </w:rPr>
  </w:style>
  <w:style w:type="character" w:styleId="ListLabel37" w:customStyle="1">
    <w:name w:val="ListLabel 37"/>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8" w:customStyle="1">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9" w:customStyle="1">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0" w:customStyle="1">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1" w:customStyle="1">
    <w:name w:val="ListLabel 4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2" w:customStyle="1">
    <w:name w:val="ListLabel 4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3" w:customStyle="1">
    <w:name w:val="ListLabel 43"/>
    <w:rPr>
      <w:rFonts w:cs="Times New Roman"/>
    </w:rPr>
  </w:style>
  <w:style w:type="character" w:styleId="ListLabel44" w:customStyle="1">
    <w:name w:val="ListLabel 44"/>
    <w:rPr>
      <w:rFonts w:cs="Times New Roman"/>
    </w:rPr>
  </w:style>
  <w:style w:type="character" w:styleId="ListLabel45" w:customStyle="1">
    <w:name w:val="ListLabel 45"/>
    <w:rPr>
      <w:rFonts w:cs="Times New Roman"/>
    </w:rPr>
  </w:style>
  <w:style w:type="character" w:styleId="ListLabel46" w:customStyle="1">
    <w:name w:val="ListLabel 46"/>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7" w:customStyle="1">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8" w:customStyle="1">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9" w:customStyle="1">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0" w:customStyle="1">
    <w:name w:val="ListLabel 5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1" w:customStyle="1">
    <w:name w:val="ListLabel 5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2" w:customStyle="1">
    <w:name w:val="ListLabel 52"/>
    <w:rPr>
      <w:rFonts w:cs="Times New Roman"/>
    </w:rPr>
  </w:style>
  <w:style w:type="character" w:styleId="ListLabel53" w:customStyle="1">
    <w:name w:val="ListLabel 53"/>
    <w:rPr>
      <w:rFonts w:cs="Times New Roman"/>
    </w:rPr>
  </w:style>
  <w:style w:type="character" w:styleId="ListLabel54" w:customStyle="1">
    <w:name w:val="ListLabel 54"/>
    <w:rPr>
      <w:rFonts w:cs="Times New Roman"/>
    </w:rPr>
  </w:style>
  <w:style w:type="character" w:styleId="ListLabel55" w:customStyle="1">
    <w:name w:val="ListLabel 55"/>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6" w:customStyle="1">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7" w:customStyle="1">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8" w:customStyle="1">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9" w:customStyle="1">
    <w:name w:val="ListLabel 59"/>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0" w:customStyle="1">
    <w:name w:val="ListLabel 6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1" w:customStyle="1">
    <w:name w:val="ListLabel 61"/>
    <w:rPr>
      <w:rFonts w:cs="Times New Roman"/>
    </w:rPr>
  </w:style>
  <w:style w:type="character" w:styleId="ListLabel62" w:customStyle="1">
    <w:name w:val="ListLabel 62"/>
    <w:rPr>
      <w:rFonts w:cs="Times New Roman"/>
    </w:rPr>
  </w:style>
  <w:style w:type="character" w:styleId="ListLabel63" w:customStyle="1">
    <w:name w:val="ListLabel 63"/>
    <w:rPr>
      <w:rFonts w:cs="Times New Roman"/>
    </w:rPr>
  </w:style>
  <w:style w:type="character" w:styleId="ListLabel64" w:customStyle="1">
    <w:name w:val="ListLabel 64"/>
    <w:rPr>
      <w:rFonts w:cs="Courier New"/>
      <w:b w:val="0"/>
    </w:rPr>
  </w:style>
  <w:style w:type="character" w:styleId="ListLabel65" w:customStyle="1">
    <w:name w:val="ListLabel 65"/>
    <w:rPr>
      <w:rFonts w:cs="Courier New"/>
    </w:rPr>
  </w:style>
  <w:style w:type="character" w:styleId="ListLabel66" w:customStyle="1">
    <w:name w:val="ListLabel 66"/>
    <w:rPr>
      <w:rFonts w:cs="Courier New"/>
    </w:rPr>
  </w:style>
  <w:style w:type="character" w:styleId="ListLabel67" w:customStyle="1">
    <w:name w:val="ListLabel 67"/>
    <w:rPr>
      <w:rFonts w:cs="Courier New"/>
    </w:rPr>
  </w:style>
  <w:style w:type="character" w:styleId="ListLabel68" w:customStyle="1">
    <w:name w:val="ListLabel 68"/>
    <w:rPr>
      <w:rFonts w:cs="Courier New"/>
    </w:rPr>
  </w:style>
  <w:style w:type="character" w:styleId="ListLabel69" w:customStyle="1">
    <w:name w:val="ListLabel 69"/>
    <w:rPr>
      <w:rFonts w:cs="Courier New"/>
    </w:rPr>
  </w:style>
  <w:style w:type="character" w:styleId="ListLabel70" w:customStyle="1">
    <w:name w:val="ListLabel 70"/>
    <w:rPr>
      <w:rFonts w:cs="Courier New"/>
    </w:rPr>
  </w:style>
  <w:style w:type="character" w:styleId="ListLabel71" w:customStyle="1">
    <w:name w:val="ListLabel 71"/>
    <w:rPr>
      <w:rFonts w:cs="Courier New"/>
    </w:rPr>
  </w:style>
  <w:style w:type="character" w:styleId="ListLabel72" w:customStyle="1">
    <w:name w:val="ListLabel 72"/>
    <w:rPr>
      <w:rFonts w:cs="Courier New"/>
    </w:rPr>
  </w:style>
  <w:style w:type="character" w:styleId="ListLabel73" w:customStyle="1">
    <w:name w:val="ListLabel 73"/>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4" w:customStyle="1">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5" w:customStyle="1">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6" w:customStyle="1">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7" w:customStyle="1">
    <w:name w:val="ListLabel 7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8" w:customStyle="1">
    <w:name w:val="ListLabel 78"/>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9" w:customStyle="1">
    <w:name w:val="ListLabel 79"/>
    <w:rPr>
      <w:rFonts w:cs="Times New Roman"/>
    </w:rPr>
  </w:style>
  <w:style w:type="character" w:styleId="ListLabel80" w:customStyle="1">
    <w:name w:val="ListLabel 80"/>
    <w:rPr>
      <w:rFonts w:cs="Times New Roman"/>
    </w:rPr>
  </w:style>
  <w:style w:type="character" w:styleId="ListLabel81" w:customStyle="1">
    <w:name w:val="ListLabel 81"/>
    <w:rPr>
      <w:rFonts w:cs="Times New Roman"/>
    </w:rPr>
  </w:style>
  <w:style w:type="character" w:styleId="ListLabel82" w:customStyle="1">
    <w:name w:val="ListLabel 82"/>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3" w:customStyle="1">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4" w:customStyle="1">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5" w:customStyle="1">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6" w:customStyle="1">
    <w:name w:val="ListLabel 8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7" w:customStyle="1">
    <w:name w:val="ListLabel 8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8" w:customStyle="1">
    <w:name w:val="ListLabel 88"/>
    <w:rPr>
      <w:rFonts w:cs="Times New Roman"/>
    </w:rPr>
  </w:style>
  <w:style w:type="character" w:styleId="ListLabel89" w:customStyle="1">
    <w:name w:val="ListLabel 89"/>
    <w:rPr>
      <w:rFonts w:cs="Times New Roman"/>
    </w:rPr>
  </w:style>
  <w:style w:type="character" w:styleId="ListLabel90" w:customStyle="1">
    <w:name w:val="ListLabel 90"/>
    <w:rPr>
      <w:rFonts w:cs="Times New Roman"/>
    </w:rPr>
  </w:style>
  <w:style w:type="numbering" w:styleId="NoList1" w:customStyle="1">
    <w:name w:val="No List_1"/>
    <w:basedOn w:val="NoList"/>
    <w:pPr>
      <w:numPr>
        <w:numId w:val="1"/>
      </w:numPr>
    </w:pPr>
  </w:style>
  <w:style w:type="numbering" w:styleId="WWNum1" w:customStyle="1">
    <w:name w:val="WWNum1"/>
    <w:basedOn w:val="NoList"/>
    <w:pPr>
      <w:numPr>
        <w:numId w:val="2"/>
      </w:numPr>
    </w:pPr>
  </w:style>
  <w:style w:type="numbering" w:styleId="WWNum2" w:customStyle="1">
    <w:name w:val="WWNum2"/>
    <w:basedOn w:val="NoList"/>
    <w:pPr>
      <w:numPr>
        <w:numId w:val="3"/>
      </w:numPr>
    </w:pPr>
  </w:style>
  <w:style w:type="numbering" w:styleId="WWNum3" w:customStyle="1">
    <w:name w:val="WWNum3"/>
    <w:basedOn w:val="NoList"/>
    <w:pPr>
      <w:numPr>
        <w:numId w:val="4"/>
      </w:numPr>
    </w:pPr>
  </w:style>
  <w:style w:type="numbering" w:styleId="WWNum4" w:customStyle="1">
    <w:name w:val="WWNum4"/>
    <w:basedOn w:val="NoList"/>
    <w:pPr>
      <w:numPr>
        <w:numId w:val="5"/>
      </w:numPr>
    </w:pPr>
  </w:style>
  <w:style w:type="numbering" w:styleId="WWNum5" w:customStyle="1">
    <w:name w:val="WWNum5"/>
    <w:basedOn w:val="NoList"/>
    <w:pPr>
      <w:numPr>
        <w:numId w:val="6"/>
      </w:numPr>
    </w:pPr>
  </w:style>
  <w:style w:type="numbering" w:styleId="WWNum6" w:customStyle="1">
    <w:name w:val="WWNum6"/>
    <w:basedOn w:val="NoList"/>
    <w:pPr>
      <w:numPr>
        <w:numId w:val="7"/>
      </w:numPr>
    </w:pPr>
  </w:style>
  <w:style w:type="numbering" w:styleId="WWNum7" w:customStyle="1">
    <w:name w:val="WWNum7"/>
    <w:basedOn w:val="NoList"/>
    <w:pPr>
      <w:numPr>
        <w:numId w:val="8"/>
      </w:numPr>
    </w:pPr>
  </w:style>
  <w:style w:type="numbering" w:styleId="WWNum8" w:customStyle="1">
    <w:name w:val="WWNum8"/>
    <w:basedOn w:val="NoList"/>
    <w:pPr>
      <w:numPr>
        <w:numId w:val="9"/>
      </w:numPr>
    </w:pPr>
  </w:style>
  <w:style w:type="numbering" w:styleId="WWNum9" w:customStyle="1">
    <w:name w:val="WWNum9"/>
    <w:basedOn w:val="NoList"/>
    <w:pPr>
      <w:numPr>
        <w:numId w:val="10"/>
      </w:numPr>
    </w:pPr>
  </w:style>
  <w:style w:type="numbering" w:styleId="WWNum10" w:customStyle="1">
    <w:name w:val="WWNum10"/>
    <w:basedOn w:val="NoList"/>
    <w:pPr>
      <w:numPr>
        <w:numId w:val="11"/>
      </w:numPr>
    </w:pPr>
  </w:style>
  <w:style w:type="numbering" w:styleId="WWNum11" w:customStyle="1">
    <w:name w:val="WWNum11"/>
    <w:basedOn w:val="NoList"/>
    <w:pPr>
      <w:numPr>
        <w:numId w:val="12"/>
      </w:numPr>
    </w:pPr>
  </w:style>
  <w:style w:type="numbering" w:styleId="WWNum12" w:customStyle="1">
    <w:name w:val="WWNum12"/>
    <w:basedOn w:val="NoList"/>
    <w:pPr>
      <w:numPr>
        <w:numId w:val="21"/>
      </w:numPr>
    </w:pPr>
  </w:style>
  <w:style w:type="numbering" w:styleId="WWNum13" w:customStyle="1">
    <w:name w:val="WWNum13"/>
    <w:basedOn w:val="NoList"/>
    <w:pPr>
      <w:numPr>
        <w:numId w:val="14"/>
      </w:numPr>
    </w:pPr>
  </w:style>
  <w:style w:type="table" w:styleId="TableGrid">
    <w:name w:val="Table Grid"/>
    <w:basedOn w:val="TableNormal"/>
    <w:uiPriority w:val="39"/>
    <w:rsid w:val="007A5C9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2NumberedBoldHeadingChar" w:customStyle="1">
    <w:name w:val="GPS L2 Numbered Bold Heading Char"/>
    <w:link w:val="GPSL2NumberedBoldHeading"/>
    <w:locked w:val="1"/>
    <w:rsid w:val="000A65D2"/>
    <w:rPr>
      <w:rFonts w:cs="Arial" w:eastAsia="Times New Roman"/>
      <w:b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oH/A/SZv+s5Jt3+M1tWXXrVULQ==">AMUW2mWXbBMGk5ssfUNdBSPjfhLIjzZOX/edSCblcHMYjj0g6pVf71/b0Qa4CZ77Bk++GrT2rnN+ZswZwOMEqHWVQmUNyWJrmADrjeR2ITG19o44LmgSnFxx5aVfZDkawnL0EWyofR8yvfuapPC1w4IkcJIwslpP4Y8t+F4+69BeCHERh/p+h+HYFN4BXore8NqvAyWWN2PBdUsXlaIu2n1UgcWP8PRBgg0YaQzzjrsnp6euvht/kJGVcYtLXfSJ3iO5fcyGiAHathEUmBWUNMuuCurgn1Uf+3T6nC7Pmvkzcx52MfBYsIfbzENniC/qn4wKXZJiCdKogvO542+D4tPqGHH9U5nysxC4KJIVDMDYeKmFECyn6x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2019-12-05T16:49:00Z</dcterms:created>
  <dc:creator>HolmesKE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y fmtid="{D5CDD505-2E9C-101B-9397-08002B2CF9AE}" pid="9" name="DocType">
    <vt:lpwstr>DOC</vt:lpwstr>
  </property>
  <property fmtid="{D5CDD505-2E9C-101B-9397-08002B2CF9AE}" pid="10" name="ClientID">
    <vt:lpwstr>NEW</vt:lpwstr>
  </property>
  <property fmtid="{D5CDD505-2E9C-101B-9397-08002B2CF9AE}" pid="11" name="MatterID">
    <vt:lpwstr>NEW</vt:lpwstr>
  </property>
</Properties>
</file>